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Arial"/>
          <w:b/>
          <w:color w:val="auto"/>
          <w:sz w:val="36"/>
          <w:szCs w:val="36"/>
        </w:rPr>
      </w:pPr>
      <w:r>
        <w:rPr>
          <w:rFonts w:ascii="Arial" w:hAnsi="Arial" w:cs="Arial"/>
          <w:color w:val="auto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 w:fill="FFFFFF"/>
        <w:jc w:val="left"/>
        <w:rPr>
          <w:rFonts w:ascii="Arial" w:hAnsi="Arial" w:cs="Arial"/>
          <w:color w:val="auto"/>
          <w:szCs w:val="21"/>
        </w:rPr>
      </w:pPr>
      <w:r>
        <w:rPr>
          <w:rFonts w:ascii="Arial" w:hAnsi="Arial" w:cs="Arial"/>
          <w:color w:val="auto"/>
          <w:kern w:val="0"/>
          <w:szCs w:val="21"/>
          <w:shd w:val="clear" w:color="auto" w:fill="FFFFFF"/>
        </w:rPr>
        <w:t> </w:t>
      </w:r>
    </w:p>
    <w:tbl>
      <w:tblPr>
        <w:tblStyle w:val="3"/>
        <w:tblW w:w="1411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3320"/>
        <w:gridCol w:w="1950"/>
        <w:gridCol w:w="1145"/>
        <w:gridCol w:w="1570"/>
        <w:gridCol w:w="2415"/>
        <w:gridCol w:w="951"/>
        <w:gridCol w:w="21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1080" w:firstLineChars="300"/>
              <w:rPr>
                <w:color w:va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2023年度淮南市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eastAsia="zh-CN"/>
              </w:rPr>
              <w:t>市属公立医院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  <w:t>公开招聘硕士研究生及以上人员岗位计划表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计划用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人数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eastAsia="zh-CN"/>
              </w:rPr>
              <w:t>淮南市第二人民医院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</w:rPr>
              <w:t>2023050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eastAsia="zh-CN"/>
              </w:rPr>
              <w:t>内科学、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eastAsia="zh-CN"/>
              </w:rPr>
              <w:t>外科学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</w:rPr>
              <w:t>硕士研究生（专硕）及以上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</w:rPr>
              <w:t>35周岁以下</w:t>
            </w: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</w:rPr>
              <w:t>淮南市精神病医院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</w:rPr>
              <w:t>（淮南市第四人民医院）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2023050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4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精神病与精神卫生学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硕士研究生及以上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shd w:val="clear" w:color="auto" w:fill="FFFFFF"/>
              </w:rPr>
              <w:t>淮南市中医院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2023050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10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中医学、中西医结合、临床医学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硕士研究生（专硕）及以上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2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具有中医学、针灸推拿学、中西医临床医学、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临床医学专业本科学历学位</w:t>
            </w:r>
          </w:p>
        </w:tc>
      </w:tr>
    </w:tbl>
    <w:p>
      <w:pPr>
        <w:shd w:val="clear" w:color="auto" w:fill="FFFFFF"/>
        <w:spacing w:line="441" w:lineRule="atLeast"/>
        <w:rPr>
          <w:rFonts w:ascii="微软雅黑" w:hAnsi="微软雅黑" w:eastAsia="微软雅黑"/>
          <w:b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119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OGNjYjVmNTRlZWE4ZDdkOTUwZGQ3NzI1YjgwYmYifQ=="/>
  </w:docVars>
  <w:rsids>
    <w:rsidRoot w:val="00000000"/>
    <w:rsid w:val="606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2023-05-30T00:39:21Z</dcterms:created>
  <dc:creator>Administrator</dc:creator>
  <cp:lastModifiedBy>WPS_1623895918</cp:lastModifiedBy>
  <dcterms:modified xsi:type="dcterms:W3CDTF">2023-05-30T00:39:54Z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903BC865A6C44E8BAE72EC8880C8044C</vt:lpwstr>
  </property>
</Properties>
</file>